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04E44" w14:textId="4C5C649A" w:rsidR="003E5FE0" w:rsidRPr="005223F3" w:rsidRDefault="003E5FE0" w:rsidP="003E5FE0">
      <w:pPr>
        <w:pStyle w:val="CRCoverPage"/>
        <w:tabs>
          <w:tab w:val="right" w:pos="9639"/>
        </w:tabs>
        <w:spacing w:after="0"/>
        <w:rPr>
          <w:b/>
          <w:i/>
          <w:noProof/>
          <w:sz w:val="28"/>
          <w:lang w:val="en-US"/>
        </w:rPr>
      </w:pPr>
      <w:r>
        <w:rPr>
          <w:b/>
          <w:noProof/>
          <w:sz w:val="24"/>
        </w:rPr>
        <w:t>3GPP TSG-</w:t>
      </w:r>
      <w:r w:rsidR="008A10EF">
        <w:fldChar w:fldCharType="begin"/>
      </w:r>
      <w:r w:rsidR="008A10EF">
        <w:instrText xml:space="preserve"> DOCPROPERTY  TSG/WGRef  \* MERGEFORMAT </w:instrText>
      </w:r>
      <w:r w:rsidR="008A10EF">
        <w:fldChar w:fldCharType="separate"/>
      </w:r>
      <w:r>
        <w:rPr>
          <w:b/>
          <w:noProof/>
          <w:sz w:val="24"/>
        </w:rPr>
        <w:t>RAN4</w:t>
      </w:r>
      <w:r w:rsidR="008A10EF">
        <w:rPr>
          <w:b/>
          <w:noProof/>
          <w:sz w:val="24"/>
        </w:rPr>
        <w:fldChar w:fldCharType="end"/>
      </w:r>
      <w:r>
        <w:rPr>
          <w:b/>
          <w:noProof/>
          <w:sz w:val="24"/>
        </w:rPr>
        <w:t xml:space="preserve"> Meeting #</w:t>
      </w:r>
      <w:r w:rsidR="008A10EF">
        <w:fldChar w:fldCharType="begin"/>
      </w:r>
      <w:r w:rsidR="008A10EF">
        <w:instrText xml:space="preserve"> DOCPROPERTY  MtgSeq  \* MERGEFORMAT </w:instrText>
      </w:r>
      <w:r w:rsidR="008A10EF">
        <w:fldChar w:fldCharType="separate"/>
      </w:r>
      <w:r w:rsidRPr="00EB09B7">
        <w:rPr>
          <w:b/>
          <w:noProof/>
          <w:sz w:val="24"/>
        </w:rPr>
        <w:t>9</w:t>
      </w:r>
      <w:r w:rsidR="008A10EF">
        <w:rPr>
          <w:b/>
          <w:noProof/>
          <w:sz w:val="24"/>
        </w:rPr>
        <w:fldChar w:fldCharType="end"/>
      </w:r>
      <w:r>
        <w:rPr>
          <w:b/>
          <w:noProof/>
          <w:sz w:val="24"/>
        </w:rPr>
        <w:t>5</w:t>
      </w:r>
      <w:r w:rsidR="008A10EF">
        <w:fldChar w:fldCharType="begin"/>
      </w:r>
      <w:r w:rsidR="008A10EF">
        <w:instrText xml:space="preserve"> DOCPROPERTY  MtgTitle  \* MERGEFORMAT </w:instrText>
      </w:r>
      <w:r w:rsidR="008A10EF">
        <w:fldChar w:fldCharType="separate"/>
      </w:r>
      <w:r>
        <w:rPr>
          <w:b/>
          <w:noProof/>
          <w:sz w:val="24"/>
        </w:rPr>
        <w:t>-e</w:t>
      </w:r>
      <w:r w:rsidR="008A10EF">
        <w:rPr>
          <w:b/>
          <w:noProof/>
          <w:sz w:val="24"/>
        </w:rPr>
        <w:fldChar w:fldCharType="end"/>
      </w:r>
      <w:r>
        <w:rPr>
          <w:b/>
          <w:i/>
          <w:noProof/>
          <w:sz w:val="28"/>
        </w:rPr>
        <w:tab/>
      </w:r>
      <w:r w:rsidR="005223F3" w:rsidRPr="005223F3">
        <w:rPr>
          <w:b/>
          <w:noProof/>
          <w:sz w:val="24"/>
        </w:rPr>
        <w:t>R4-2006616</w:t>
      </w:r>
    </w:p>
    <w:p w14:paraId="43274D5C" w14:textId="77777777" w:rsidR="003E5FE0" w:rsidRDefault="008A10EF" w:rsidP="003E5FE0">
      <w:pPr>
        <w:pStyle w:val="CRCoverPage"/>
        <w:outlineLvl w:val="0"/>
        <w:rPr>
          <w:b/>
          <w:noProof/>
          <w:sz w:val="24"/>
        </w:rPr>
      </w:pPr>
      <w:r>
        <w:fldChar w:fldCharType="begin"/>
      </w:r>
      <w:r>
        <w:instrText xml:space="preserve"> DOCPROPERTY  Location  \* MERGEFORMAT </w:instrText>
      </w:r>
      <w:r>
        <w:fldChar w:fldCharType="separate"/>
      </w:r>
      <w:r w:rsidR="003E5FE0" w:rsidRPr="00BA51D9">
        <w:rPr>
          <w:b/>
          <w:noProof/>
          <w:sz w:val="24"/>
        </w:rPr>
        <w:t>Online</w:t>
      </w:r>
      <w:r>
        <w:rPr>
          <w:b/>
          <w:noProof/>
          <w:sz w:val="24"/>
        </w:rPr>
        <w:fldChar w:fldCharType="end"/>
      </w:r>
      <w:r w:rsidR="003E5FE0">
        <w:rPr>
          <w:b/>
          <w:noProof/>
          <w:sz w:val="24"/>
        </w:rPr>
        <w:t xml:space="preserve">, </w:t>
      </w:r>
      <w:r w:rsidR="003E5FE0">
        <w:fldChar w:fldCharType="begin"/>
      </w:r>
      <w:r w:rsidR="003E5FE0">
        <w:instrText xml:space="preserve"> DOCPROPERTY  Country  \* MERGEFORMAT </w:instrText>
      </w:r>
      <w:r w:rsidR="003E5FE0">
        <w:fldChar w:fldCharType="end"/>
      </w:r>
      <w:r>
        <w:fldChar w:fldCharType="begin"/>
      </w:r>
      <w:r>
        <w:instrText xml:space="preserve"> DOCPROPERTY  StartDate  \* MERGEFORMAT </w:instrText>
      </w:r>
      <w:r>
        <w:fldChar w:fldCharType="separate"/>
      </w:r>
      <w:r w:rsidR="003E5FE0">
        <w:rPr>
          <w:b/>
          <w:noProof/>
          <w:sz w:val="24"/>
        </w:rPr>
        <w:t>25</w:t>
      </w:r>
      <w:r w:rsidR="003E5FE0" w:rsidRPr="00797ADF">
        <w:rPr>
          <w:b/>
          <w:noProof/>
          <w:sz w:val="24"/>
          <w:vertAlign w:val="superscript"/>
        </w:rPr>
        <w:t>th</w:t>
      </w:r>
      <w:r w:rsidR="003E5FE0" w:rsidRPr="00BA51D9">
        <w:rPr>
          <w:b/>
          <w:noProof/>
          <w:sz w:val="24"/>
        </w:rPr>
        <w:t xml:space="preserve"> </w:t>
      </w:r>
      <w:r>
        <w:rPr>
          <w:b/>
          <w:noProof/>
          <w:sz w:val="24"/>
        </w:rPr>
        <w:fldChar w:fldCharType="end"/>
      </w:r>
      <w:r w:rsidR="003E5FE0">
        <w:rPr>
          <w:b/>
          <w:noProof/>
          <w:sz w:val="24"/>
        </w:rPr>
        <w:t xml:space="preserve">May - </w:t>
      </w:r>
      <w:r>
        <w:fldChar w:fldCharType="begin"/>
      </w:r>
      <w:r>
        <w:instrText xml:space="preserve"> DOCPROPERTY  EndDate  \* MERGEFORMAT </w:instrText>
      </w:r>
      <w:r>
        <w:fldChar w:fldCharType="separate"/>
      </w:r>
      <w:r w:rsidR="003E5FE0">
        <w:rPr>
          <w:b/>
          <w:noProof/>
          <w:sz w:val="24"/>
        </w:rPr>
        <w:t>5</w:t>
      </w:r>
      <w:r w:rsidR="003E5FE0" w:rsidRPr="00797ADF">
        <w:rPr>
          <w:b/>
          <w:noProof/>
          <w:sz w:val="24"/>
          <w:vertAlign w:val="superscript"/>
        </w:rPr>
        <w:t>th</w:t>
      </w:r>
      <w:r w:rsidR="003E5FE0" w:rsidRPr="00BA51D9">
        <w:rPr>
          <w:b/>
          <w:noProof/>
          <w:sz w:val="24"/>
        </w:rPr>
        <w:t xml:space="preserve"> </w:t>
      </w:r>
      <w:r w:rsidR="003E5FE0">
        <w:rPr>
          <w:b/>
          <w:noProof/>
          <w:sz w:val="24"/>
        </w:rPr>
        <w:t>Jun</w:t>
      </w:r>
      <w:r w:rsidR="003E5FE0" w:rsidRPr="00BA51D9">
        <w:rPr>
          <w:b/>
          <w:noProof/>
          <w:sz w:val="24"/>
        </w:rPr>
        <w:t xml:space="preserve"> 2020</w:t>
      </w:r>
      <w:r>
        <w:rPr>
          <w:b/>
          <w:noProof/>
          <w:sz w:val="24"/>
        </w:rPr>
        <w:fldChar w:fldCharType="end"/>
      </w:r>
    </w:p>
    <w:p w14:paraId="038E9536" w14:textId="09053C8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223F3">
        <w:rPr>
          <w:rFonts w:ascii="Arial" w:hAnsi="Arial" w:cs="Arial"/>
          <w:b/>
          <w:sz w:val="22"/>
          <w:szCs w:val="22"/>
        </w:rPr>
        <w:t>6.21.3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41969B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760DBF" w:rsidRPr="00760DBF">
        <w:rPr>
          <w:rFonts w:ascii="Arial" w:hAnsi="Arial" w:cs="Arial"/>
          <w:b/>
          <w:sz w:val="22"/>
          <w:szCs w:val="22"/>
        </w:rPr>
        <w:t>On potential enhancement for TCI switching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813E530" w14:textId="77777777" w:rsidR="00760DBF" w:rsidRDefault="0054626E" w:rsidP="00712CC1">
      <w:pPr>
        <w:snapToGrid w:val="0"/>
        <w:spacing w:after="0"/>
        <w:jc w:val="both"/>
        <w:rPr>
          <w:lang w:val="en-US" w:eastAsia="zh-CN"/>
        </w:rPr>
      </w:pPr>
      <w:r>
        <w:rPr>
          <w:lang w:val="en-US" w:eastAsia="zh-CN"/>
        </w:rPr>
        <w:t xml:space="preserve">In </w:t>
      </w:r>
      <w:r w:rsidR="00760DBF">
        <w:rPr>
          <w:rFonts w:hint="eastAsia"/>
          <w:lang w:val="en-US" w:eastAsia="zh-CN"/>
        </w:rPr>
        <w:t>last</w:t>
      </w:r>
      <w:r w:rsidR="00760DBF">
        <w:rPr>
          <w:lang w:val="en-US" w:eastAsia="zh-CN"/>
        </w:rPr>
        <w:t xml:space="preserve"> RAN4 </w:t>
      </w:r>
      <w:r w:rsidR="00760DBF">
        <w:rPr>
          <w:rFonts w:hint="eastAsia"/>
          <w:lang w:val="en-US" w:eastAsia="zh-CN"/>
        </w:rPr>
        <w:t>meeting</w:t>
      </w:r>
      <w:r w:rsidR="00760DBF">
        <w:rPr>
          <w:lang w:val="en-US" w:eastAsia="zh-CN"/>
        </w:rPr>
        <w:t>, RAN4 has discussed some mismatch issue for TCI switching delay between RAN1 and RAN4 spec</w:t>
      </w:r>
      <w:r w:rsidR="00712CC1">
        <w:rPr>
          <w:rFonts w:hint="eastAsia"/>
          <w:lang w:val="en-US" w:eastAsia="zh-CN"/>
        </w:rPr>
        <w:t>.</w:t>
      </w:r>
      <w:r w:rsidR="00760DBF">
        <w:rPr>
          <w:lang w:val="en-US" w:eastAsia="zh-CN"/>
        </w:rPr>
        <w:t xml:space="preserve"> </w:t>
      </w:r>
      <w:r w:rsidR="00760DBF">
        <w:rPr>
          <w:rFonts w:hint="eastAsia"/>
          <w:lang w:val="en-US" w:eastAsia="zh-CN"/>
        </w:rPr>
        <w:t>However</w:t>
      </w:r>
      <w:r w:rsidR="00760DBF">
        <w:rPr>
          <w:lang w:val="en-US" w:eastAsia="zh-CN"/>
        </w:rPr>
        <w:t xml:space="preserve">, we understand that it’s difficult to change RAN1 spec in R15 at this moment, and therefore we can compromise to only change RAN4 spec to comply with RAN1 definition. </w:t>
      </w:r>
    </w:p>
    <w:p w14:paraId="43657FD8" w14:textId="77777777" w:rsidR="00760DBF" w:rsidRDefault="00760DBF" w:rsidP="00712CC1">
      <w:pPr>
        <w:snapToGrid w:val="0"/>
        <w:spacing w:after="0"/>
        <w:jc w:val="both"/>
        <w:rPr>
          <w:lang w:val="en-US" w:eastAsia="zh-CN"/>
        </w:rPr>
      </w:pPr>
    </w:p>
    <w:p w14:paraId="1E99E5CA" w14:textId="45B54C2B" w:rsidR="00712CC1" w:rsidRDefault="00760DBF" w:rsidP="00712CC1">
      <w:pPr>
        <w:snapToGrid w:val="0"/>
        <w:spacing w:after="0"/>
        <w:jc w:val="both"/>
        <w:rPr>
          <w:lang w:val="en-US" w:eastAsia="zh-CN"/>
        </w:rPr>
      </w:pPr>
      <w:r>
        <w:rPr>
          <w:lang w:val="en-US" w:eastAsia="zh-CN"/>
        </w:rPr>
        <w:t>In this contribution, we disclose some potential enhancement possibilities on the existing TCI switching delay requirement.</w:t>
      </w:r>
    </w:p>
    <w:p w14:paraId="157A3162" w14:textId="6F5394A7" w:rsidR="000952F7" w:rsidRDefault="000952F7" w:rsidP="000952F7">
      <w:pPr>
        <w:pStyle w:val="Heading1"/>
        <w:numPr>
          <w:ilvl w:val="0"/>
          <w:numId w:val="10"/>
        </w:numPr>
        <w:pBdr>
          <w:top w:val="single" w:sz="12" w:space="2" w:color="auto"/>
        </w:pBdr>
        <w:tabs>
          <w:tab w:val="num" w:pos="45"/>
        </w:tabs>
        <w:jc w:val="both"/>
        <w:rPr>
          <w:sz w:val="32"/>
        </w:rPr>
      </w:pPr>
      <w:r>
        <w:rPr>
          <w:sz w:val="32"/>
        </w:rPr>
        <w:t xml:space="preserve">Potential </w:t>
      </w:r>
      <w:r w:rsidR="00760DBF">
        <w:rPr>
          <w:sz w:val="32"/>
        </w:rPr>
        <w:t>enhancement</w:t>
      </w:r>
      <w:r>
        <w:rPr>
          <w:sz w:val="32"/>
        </w:rPr>
        <w:t xml:space="preserve"> on </w:t>
      </w:r>
      <w:r w:rsidR="00760DBF">
        <w:rPr>
          <w:sz w:val="32"/>
        </w:rPr>
        <w:t xml:space="preserve">TCI </w:t>
      </w:r>
      <w:r>
        <w:rPr>
          <w:sz w:val="32"/>
        </w:rPr>
        <w:t>switching</w:t>
      </w:r>
      <w:r w:rsidR="00760DBF">
        <w:rPr>
          <w:sz w:val="32"/>
        </w:rPr>
        <w:t xml:space="preserve"> delay</w:t>
      </w:r>
    </w:p>
    <w:p w14:paraId="681DD2A2" w14:textId="12D76287" w:rsidR="00760DBF" w:rsidRDefault="00760DBF" w:rsidP="00760DBF">
      <w:pPr>
        <w:tabs>
          <w:tab w:val="left" w:pos="1900"/>
          <w:tab w:val="left" w:pos="2637"/>
        </w:tabs>
        <w:spacing w:after="120" w:line="252" w:lineRule="auto"/>
        <w:rPr>
          <w:lang w:val="en-US" w:eastAsia="zh-CN"/>
        </w:rPr>
      </w:pPr>
      <w:r w:rsidRPr="00760DBF">
        <w:rPr>
          <w:lang w:val="en-US" w:eastAsia="zh-CN"/>
        </w:rPr>
        <w:t>In TS38.214</w:t>
      </w:r>
      <w:r w:rsidR="00DA741F">
        <w:rPr>
          <w:lang w:val="en-US" w:eastAsia="zh-CN"/>
        </w:rPr>
        <w:t xml:space="preserve"> section 5.1.5</w:t>
      </w:r>
      <w:r w:rsidRPr="00760DBF">
        <w:rPr>
          <w:lang w:val="en-US" w:eastAsia="zh-CN"/>
        </w:rPr>
        <w:t>, it was specified that</w:t>
      </w:r>
      <w:r>
        <w:rPr>
          <w:lang w:val="en-US" w:eastAsia="zh-CN"/>
        </w:rPr>
        <w:t>,</w:t>
      </w:r>
    </w:p>
    <w:tbl>
      <w:tblPr>
        <w:tblStyle w:val="TableGrid"/>
        <w:tblW w:w="0" w:type="auto"/>
        <w:tblLook w:val="04A0" w:firstRow="1" w:lastRow="0" w:firstColumn="1" w:lastColumn="0" w:noHBand="0" w:noVBand="1"/>
      </w:tblPr>
      <w:tblGrid>
        <w:gridCol w:w="9629"/>
      </w:tblGrid>
      <w:tr w:rsidR="00760DBF" w14:paraId="4E44B299" w14:textId="77777777" w:rsidTr="00760DBF">
        <w:tc>
          <w:tcPr>
            <w:tcW w:w="9629" w:type="dxa"/>
          </w:tcPr>
          <w:p w14:paraId="080BF863" w14:textId="4233748F" w:rsidR="00760DBF" w:rsidRPr="00760DBF" w:rsidRDefault="00760DBF" w:rsidP="00760DBF">
            <w:pPr>
              <w:tabs>
                <w:tab w:val="left" w:pos="1900"/>
                <w:tab w:val="left" w:pos="2637"/>
              </w:tabs>
              <w:spacing w:after="120" w:line="252" w:lineRule="auto"/>
              <w:rPr>
                <w:i/>
                <w:iCs/>
                <w:lang w:val="en-US" w:eastAsia="zh-CN"/>
              </w:rPr>
            </w:pPr>
            <w:r w:rsidRPr="00760DBF">
              <w:rPr>
                <w:i/>
                <w:iCs/>
                <w:lang w:val="en-US" w:eastAsia="zh-CN"/>
              </w:rPr>
              <w:t xml:space="preserve">When the HARQ-ACK corresponding to the PDSCH carrying the activation command is transmitted in slot n, the indicated mapping between TCI states and codepoints of the DCI field 'Transmission Configuration Indication' should be applied starting from the first slot that is after slot </w:t>
            </w:r>
            <w:r w:rsidRPr="00760DBF">
              <w:rPr>
                <w:rFonts w:ascii="Cambria Math" w:hAnsi="Cambria Math" w:cs="Cambria Math"/>
                <w:i/>
                <w:iCs/>
                <w:lang w:val="en-US" w:eastAsia="zh-CN"/>
              </w:rPr>
              <w:t>𝑛</w:t>
            </w:r>
            <w:r w:rsidRPr="00760DBF">
              <w:rPr>
                <w:i/>
                <w:iCs/>
                <w:lang w:val="en-US" w:eastAsia="zh-CN"/>
              </w:rPr>
              <w:t xml:space="preserve"> + 3</w:t>
            </w:r>
            <w:proofErr w:type="gramStart"/>
            <w:r w:rsidRPr="00760DBF">
              <w:rPr>
                <w:rFonts w:ascii="Cambria Math" w:hAnsi="Cambria Math" w:cs="Cambria Math"/>
                <w:i/>
                <w:iCs/>
                <w:lang w:val="en-US" w:eastAsia="zh-CN"/>
              </w:rPr>
              <w:t>𝑁𝑠𝑙𝑜𝑡</w:t>
            </w:r>
            <w:r w:rsidRPr="00760DBF">
              <w:rPr>
                <w:i/>
                <w:iCs/>
                <w:lang w:val="en-US" w:eastAsia="zh-CN"/>
              </w:rPr>
              <w:t xml:space="preserve"> .</w:t>
            </w:r>
            <w:proofErr w:type="gramEnd"/>
            <w:r w:rsidRPr="00760DBF">
              <w:rPr>
                <w:i/>
                <w:iCs/>
                <w:lang w:val="en-US" w:eastAsia="zh-CN"/>
              </w:rPr>
              <w:t xml:space="preserve">  </w:t>
            </w:r>
          </w:p>
        </w:tc>
      </w:tr>
    </w:tbl>
    <w:p w14:paraId="61D5D9CC" w14:textId="77777777" w:rsidR="00760DBF" w:rsidRPr="00760DBF" w:rsidRDefault="00760DBF" w:rsidP="00760DBF">
      <w:pPr>
        <w:tabs>
          <w:tab w:val="left" w:pos="1900"/>
          <w:tab w:val="left" w:pos="2637"/>
        </w:tabs>
        <w:spacing w:after="120" w:line="252" w:lineRule="auto"/>
        <w:rPr>
          <w:lang w:val="en-US" w:eastAsia="zh-CN"/>
        </w:rPr>
      </w:pPr>
    </w:p>
    <w:p w14:paraId="57E1C59E" w14:textId="324CD002" w:rsidR="00760DBF" w:rsidRPr="00760DBF" w:rsidRDefault="00760DBF" w:rsidP="00760DBF">
      <w:pPr>
        <w:tabs>
          <w:tab w:val="left" w:pos="2620"/>
          <w:tab w:val="left" w:pos="3357"/>
        </w:tabs>
        <w:spacing w:after="120" w:line="252" w:lineRule="auto"/>
        <w:rPr>
          <w:color w:val="000000" w:themeColor="text1"/>
          <w:lang w:val="en-US" w:eastAsia="fr-FR"/>
        </w:rPr>
      </w:pPr>
      <w:r w:rsidRPr="00760DBF">
        <w:rPr>
          <w:color w:val="000000" w:themeColor="text1"/>
          <w:lang w:val="en-US" w:eastAsia="fr-FR"/>
        </w:rPr>
        <w:t>However, in RAN4 spec TS38.133</w:t>
      </w:r>
      <w:r w:rsidR="00DA741F">
        <w:rPr>
          <w:color w:val="000000" w:themeColor="text1"/>
          <w:lang w:val="en-US" w:eastAsia="fr-FR"/>
        </w:rPr>
        <w:t xml:space="preserve"> section 8.10.3,</w:t>
      </w:r>
      <w:r w:rsidRPr="00760DBF">
        <w:rPr>
          <w:color w:val="000000" w:themeColor="text1"/>
          <w:lang w:val="en-US" w:eastAsia="fr-FR"/>
        </w:rPr>
        <w:t xml:space="preserve"> we defined that,</w:t>
      </w:r>
    </w:p>
    <w:tbl>
      <w:tblPr>
        <w:tblStyle w:val="TableGrid"/>
        <w:tblW w:w="0" w:type="auto"/>
        <w:tblLook w:val="04A0" w:firstRow="1" w:lastRow="0" w:firstColumn="1" w:lastColumn="0" w:noHBand="0" w:noVBand="1"/>
      </w:tblPr>
      <w:tblGrid>
        <w:gridCol w:w="9629"/>
      </w:tblGrid>
      <w:tr w:rsidR="00760DBF" w:rsidRPr="00760DBF" w14:paraId="5898913D" w14:textId="77777777" w:rsidTr="00760DBF">
        <w:tc>
          <w:tcPr>
            <w:tcW w:w="9629" w:type="dxa"/>
          </w:tcPr>
          <w:p w14:paraId="019F5550" w14:textId="68F3DB59" w:rsidR="00760DBF" w:rsidRPr="00DA741F" w:rsidRDefault="00DA741F" w:rsidP="00DA741F">
            <w:pPr>
              <w:rPr>
                <w:i/>
                <w:iCs/>
                <w:lang w:val="en-US" w:eastAsia="zh-CN"/>
              </w:rPr>
            </w:pPr>
            <w:r w:rsidRPr="00DA741F">
              <w:rPr>
                <w:rFonts w:eastAsia="Malgun Gothic"/>
                <w:i/>
                <w:iCs/>
                <w:lang w:val="en-US" w:eastAsia="zh-CN"/>
              </w:rPr>
              <w:t>If the target TCI state is known, upon</w:t>
            </w:r>
            <w:r w:rsidRPr="00DA741F">
              <w:rPr>
                <w:i/>
                <w:iCs/>
                <w:lang w:val="en-US" w:eastAsia="zh-CN"/>
              </w:rPr>
              <w:t xml:space="preserve"> receiv</w:t>
            </w:r>
            <w:r w:rsidRPr="00DA741F">
              <w:rPr>
                <w:rFonts w:eastAsia="Malgun Gothic"/>
                <w:i/>
                <w:iCs/>
                <w:lang w:val="en-US" w:eastAsia="zh-CN"/>
              </w:rPr>
              <w:t>ing PDSCH carrying</w:t>
            </w:r>
            <w:r w:rsidRPr="00DA741F">
              <w:rPr>
                <w:i/>
                <w:iCs/>
                <w:lang w:val="en-US" w:eastAsia="zh-CN"/>
              </w:rPr>
              <w:t xml:space="preserve"> </w:t>
            </w:r>
            <w:r w:rsidRPr="00DA741F">
              <w:rPr>
                <w:rFonts w:eastAsia="Malgun Gothic"/>
                <w:i/>
                <w:iCs/>
                <w:lang w:val="en-US" w:eastAsia="zh-CN"/>
              </w:rPr>
              <w:t>MAC-CE activation command in slot n</w:t>
            </w:r>
            <w:r w:rsidRPr="00DA741F">
              <w:rPr>
                <w:i/>
                <w:iCs/>
                <w:lang w:val="en-US" w:eastAsia="zh-CN"/>
              </w:rPr>
              <w:t>, UE shall be able to receive PD</w:t>
            </w:r>
            <w:r w:rsidRPr="00DA741F">
              <w:rPr>
                <w:rFonts w:eastAsia="Malgun Gothic"/>
                <w:i/>
                <w:iCs/>
                <w:lang w:val="en-US" w:eastAsia="zh-CN"/>
              </w:rPr>
              <w:t>C</w:t>
            </w:r>
            <w:r w:rsidRPr="00DA741F">
              <w:rPr>
                <w:i/>
                <w:iCs/>
                <w:lang w:val="en-US" w:eastAsia="zh-CN"/>
              </w:rPr>
              <w:t xml:space="preserve">CH with target </w:t>
            </w:r>
            <w:r w:rsidRPr="00DA741F">
              <w:rPr>
                <w:rFonts w:eastAsia="Malgun Gothic"/>
                <w:i/>
                <w:iCs/>
                <w:lang w:val="en-US" w:eastAsia="zh-CN"/>
              </w:rPr>
              <w:t>TCI state</w:t>
            </w:r>
            <w:r w:rsidRPr="00DA741F">
              <w:rPr>
                <w:i/>
                <w:iCs/>
                <w:lang w:val="en-US" w:eastAsia="zh-CN"/>
              </w:rPr>
              <w:t xml:space="preserve"> </w:t>
            </w:r>
            <w:r w:rsidRPr="00DA741F">
              <w:rPr>
                <w:rFonts w:eastAsia="Malgun Gothic"/>
                <w:i/>
                <w:iCs/>
                <w:lang w:val="en-US" w:eastAsia="zh-CN"/>
              </w:rPr>
              <w:t>of</w:t>
            </w:r>
            <w:r w:rsidRPr="00DA741F">
              <w:rPr>
                <w:i/>
                <w:iCs/>
                <w:lang w:val="en-US" w:eastAsia="zh-CN"/>
              </w:rPr>
              <w:t xml:space="preserve"> the serving cell on which </w:t>
            </w:r>
            <w:r w:rsidRPr="00DA741F">
              <w:rPr>
                <w:rFonts w:eastAsia="Malgun Gothic"/>
                <w:i/>
                <w:iCs/>
                <w:lang w:val="en-US" w:eastAsia="zh-CN"/>
              </w:rPr>
              <w:t>TCI state</w:t>
            </w:r>
            <w:r w:rsidRPr="00DA741F">
              <w:rPr>
                <w:i/>
                <w:iCs/>
                <w:lang w:val="en-US" w:eastAsia="zh-CN"/>
              </w:rPr>
              <w:t xml:space="preserve"> switch occurs no later than in slot n+</w:t>
            </w:r>
            <w:r w:rsidRPr="00DA741F">
              <w:rPr>
                <w:rFonts w:eastAsia="Malgun Gothic"/>
                <w:i/>
                <w:iCs/>
                <w:lang w:eastAsia="zh-CN"/>
              </w:rPr>
              <w:t xml:space="preserve"> T</w:t>
            </w:r>
            <w:r w:rsidRPr="00DA741F">
              <w:rPr>
                <w:rFonts w:eastAsia="Malgun Gothic"/>
                <w:i/>
                <w:iCs/>
                <w:vertAlign w:val="subscript"/>
                <w:lang w:eastAsia="zh-CN"/>
              </w:rPr>
              <w:t>HARQ</w:t>
            </w:r>
            <w:r w:rsidRPr="00DA741F">
              <w:rPr>
                <w:rFonts w:eastAsia="Malgun Gothic"/>
                <w:i/>
                <w:iCs/>
                <w:lang w:eastAsia="zh-CN"/>
              </w:rPr>
              <w:t xml:space="preserve"> +(</w:t>
            </w:r>
            <w:r w:rsidRPr="00DA741F">
              <w:rPr>
                <w:rFonts w:eastAsia="Malgun Gothic"/>
                <w:i/>
                <w:iCs/>
                <w:lang w:val="en-US" w:eastAsia="zh-CN"/>
              </w:rPr>
              <w:t>3 </w:t>
            </w:r>
            <w:proofErr w:type="spellStart"/>
            <w:r w:rsidRPr="00DA741F">
              <w:rPr>
                <w:rFonts w:eastAsia="Malgun Gothic"/>
                <w:i/>
                <w:iCs/>
                <w:lang w:val="en-US" w:eastAsia="zh-CN"/>
              </w:rPr>
              <w:t>ms</w:t>
            </w:r>
            <w:proofErr w:type="spellEnd"/>
            <w:r w:rsidRPr="00DA741F">
              <w:rPr>
                <w:rFonts w:eastAsia="Malgun Gothic"/>
                <w:i/>
                <w:iCs/>
                <w:lang w:val="en-US" w:eastAsia="zh-CN"/>
              </w:rPr>
              <w:t xml:space="preserve"> +</w:t>
            </w:r>
            <w:proofErr w:type="spellStart"/>
            <w:r w:rsidRPr="00DA741F">
              <w:rPr>
                <w:rFonts w:eastAsia="Malgun Gothic"/>
                <w:i/>
                <w:iCs/>
                <w:lang w:val="en-US" w:eastAsia="zh-CN"/>
              </w:rPr>
              <w:t>TO</w:t>
            </w:r>
            <w:r w:rsidRPr="00DA741F">
              <w:rPr>
                <w:rFonts w:eastAsia="Malgun Gothic"/>
                <w:i/>
                <w:iCs/>
                <w:vertAlign w:val="subscript"/>
                <w:lang w:val="en-US" w:eastAsia="zh-CN"/>
              </w:rPr>
              <w:t>k</w:t>
            </w:r>
            <w:proofErr w:type="spellEnd"/>
            <w:r w:rsidRPr="00DA741F">
              <w:rPr>
                <w:rFonts w:eastAsia="Malgun Gothic"/>
                <w:i/>
                <w:iCs/>
                <w:lang w:val="en-US" w:eastAsia="zh-CN"/>
              </w:rPr>
              <w:t>*(</w:t>
            </w:r>
            <w:proofErr w:type="spellStart"/>
            <w:r w:rsidRPr="00DA741F">
              <w:rPr>
                <w:rFonts w:eastAsia="Malgun Gothic"/>
                <w:i/>
                <w:iCs/>
                <w:lang w:val="en-US" w:eastAsia="zh-CN"/>
              </w:rPr>
              <w:t>T</w:t>
            </w:r>
            <w:r w:rsidRPr="00DA741F">
              <w:rPr>
                <w:rFonts w:eastAsia="Malgun Gothic"/>
                <w:i/>
                <w:iCs/>
                <w:vertAlign w:val="subscript"/>
                <w:lang w:val="en-US" w:eastAsia="zh-CN"/>
              </w:rPr>
              <w:t>first</w:t>
            </w:r>
            <w:proofErr w:type="spellEnd"/>
            <w:r w:rsidRPr="00DA741F">
              <w:rPr>
                <w:rFonts w:eastAsia="Malgun Gothic"/>
                <w:i/>
                <w:iCs/>
                <w:vertAlign w:val="subscript"/>
                <w:lang w:val="en-US" w:eastAsia="zh-CN"/>
              </w:rPr>
              <w:t xml:space="preserve">-SSB </w:t>
            </w:r>
            <w:r w:rsidRPr="00DA741F">
              <w:rPr>
                <w:rFonts w:eastAsia="Malgun Gothic"/>
                <w:i/>
                <w:iCs/>
                <w:lang w:val="en-US" w:eastAsia="zh-CN"/>
              </w:rPr>
              <w:t>+ T</w:t>
            </w:r>
            <w:r w:rsidRPr="00DA741F">
              <w:rPr>
                <w:rFonts w:eastAsia="Malgun Gothic"/>
                <w:i/>
                <w:iCs/>
                <w:vertAlign w:val="subscript"/>
                <w:lang w:val="en-US" w:eastAsia="zh-CN"/>
              </w:rPr>
              <w:t>SSB-proc</w:t>
            </w:r>
            <w:r w:rsidRPr="00DA741F">
              <w:rPr>
                <w:rFonts w:eastAsia="Malgun Gothic"/>
                <w:i/>
                <w:iCs/>
                <w:lang w:val="en-US" w:eastAsia="zh-CN"/>
              </w:rPr>
              <w:t>))</w:t>
            </w:r>
            <w:r w:rsidRPr="00DA741F">
              <w:rPr>
                <w:i/>
                <w:iCs/>
                <w:lang w:val="en-US" w:eastAsia="zh-CN"/>
              </w:rPr>
              <w:t xml:space="preserve"> / NR slot length. The UE shall be able to receive PDCCH with the old TCI state until slot n+</w:t>
            </w:r>
            <w:r w:rsidRPr="00DA741F">
              <w:rPr>
                <w:rFonts w:eastAsia="Malgun Gothic"/>
                <w:i/>
                <w:iCs/>
                <w:lang w:eastAsia="zh-CN"/>
              </w:rPr>
              <w:t xml:space="preserve"> T</w:t>
            </w:r>
            <w:r w:rsidRPr="00DA741F">
              <w:rPr>
                <w:rFonts w:eastAsia="Malgun Gothic"/>
                <w:i/>
                <w:iCs/>
                <w:vertAlign w:val="subscript"/>
                <w:lang w:eastAsia="zh-CN"/>
              </w:rPr>
              <w:t>HARQ</w:t>
            </w:r>
            <w:r w:rsidRPr="00DA741F">
              <w:rPr>
                <w:rFonts w:eastAsia="Malgun Gothic"/>
                <w:i/>
                <w:iCs/>
                <w:lang w:eastAsia="zh-CN"/>
              </w:rPr>
              <w:t xml:space="preserve"> +(</w:t>
            </w:r>
            <w:r w:rsidRPr="00DA741F">
              <w:rPr>
                <w:rFonts w:eastAsia="Malgun Gothic"/>
                <w:i/>
                <w:iCs/>
                <w:lang w:val="en-US" w:eastAsia="zh-CN"/>
              </w:rPr>
              <w:t>3 </w:t>
            </w:r>
            <w:proofErr w:type="spellStart"/>
            <w:r w:rsidRPr="00DA741F">
              <w:rPr>
                <w:rFonts w:eastAsia="Malgun Gothic"/>
                <w:i/>
                <w:iCs/>
                <w:lang w:val="en-US" w:eastAsia="zh-CN"/>
              </w:rPr>
              <w:t>ms</w:t>
            </w:r>
            <w:proofErr w:type="spellEnd"/>
            <w:r w:rsidRPr="00DA741F">
              <w:rPr>
                <w:rFonts w:eastAsia="Malgun Gothic"/>
                <w:i/>
                <w:iCs/>
                <w:lang w:val="en-US" w:eastAsia="zh-CN"/>
              </w:rPr>
              <w:t xml:space="preserve"> +</w:t>
            </w:r>
            <w:proofErr w:type="spellStart"/>
            <w:r w:rsidRPr="00DA741F">
              <w:rPr>
                <w:rFonts w:eastAsia="Malgun Gothic"/>
                <w:i/>
                <w:iCs/>
                <w:lang w:val="en-US" w:eastAsia="zh-CN"/>
              </w:rPr>
              <w:t>TO</w:t>
            </w:r>
            <w:r w:rsidRPr="00DA741F">
              <w:rPr>
                <w:rFonts w:eastAsia="Malgun Gothic"/>
                <w:i/>
                <w:iCs/>
                <w:vertAlign w:val="subscript"/>
                <w:lang w:val="en-US" w:eastAsia="zh-CN"/>
              </w:rPr>
              <w:t>k</w:t>
            </w:r>
            <w:proofErr w:type="spellEnd"/>
            <w:r w:rsidRPr="00DA741F">
              <w:rPr>
                <w:rFonts w:eastAsia="Malgun Gothic"/>
                <w:i/>
                <w:iCs/>
                <w:lang w:val="en-US" w:eastAsia="zh-CN"/>
              </w:rPr>
              <w:t>*(</w:t>
            </w:r>
            <w:proofErr w:type="spellStart"/>
            <w:r w:rsidRPr="00DA741F">
              <w:rPr>
                <w:rFonts w:eastAsia="Malgun Gothic"/>
                <w:i/>
                <w:iCs/>
                <w:lang w:val="en-US" w:eastAsia="zh-CN"/>
              </w:rPr>
              <w:t>T</w:t>
            </w:r>
            <w:r w:rsidRPr="00DA741F">
              <w:rPr>
                <w:rFonts w:eastAsia="Malgun Gothic"/>
                <w:i/>
                <w:iCs/>
                <w:vertAlign w:val="subscript"/>
                <w:lang w:val="en-US" w:eastAsia="zh-CN"/>
              </w:rPr>
              <w:t>first</w:t>
            </w:r>
            <w:proofErr w:type="spellEnd"/>
            <w:r w:rsidRPr="00DA741F">
              <w:rPr>
                <w:rFonts w:eastAsia="Malgun Gothic"/>
                <w:i/>
                <w:iCs/>
                <w:vertAlign w:val="subscript"/>
                <w:lang w:val="en-US" w:eastAsia="zh-CN"/>
              </w:rPr>
              <w:t>-SSB</w:t>
            </w:r>
            <w:r w:rsidRPr="00DA741F">
              <w:rPr>
                <w:i/>
                <w:iCs/>
                <w:lang w:val="en-US" w:eastAsia="zh-CN"/>
              </w:rPr>
              <w:t>)) / NR slot length.</w:t>
            </w:r>
          </w:p>
        </w:tc>
      </w:tr>
    </w:tbl>
    <w:p w14:paraId="2A9D8135" w14:textId="77777777" w:rsidR="00760DBF" w:rsidRPr="00760DBF" w:rsidRDefault="00760DBF" w:rsidP="00760DBF">
      <w:pPr>
        <w:tabs>
          <w:tab w:val="left" w:pos="2620"/>
          <w:tab w:val="left" w:pos="3357"/>
        </w:tabs>
        <w:spacing w:after="120" w:line="252" w:lineRule="auto"/>
        <w:rPr>
          <w:rFonts w:ascii="Helvetica Neue" w:hAnsi="Helvetica Neue" w:cs="Helvetica Neue"/>
          <w:color w:val="000000" w:themeColor="text1"/>
          <w:lang w:val="en-US" w:eastAsia="fr-FR"/>
        </w:rPr>
      </w:pPr>
    </w:p>
    <w:p w14:paraId="5B5540ED" w14:textId="0E0D76B7" w:rsidR="00501D6A" w:rsidRDefault="00DA741F" w:rsidP="00760DBF">
      <w:pPr>
        <w:rPr>
          <w:color w:val="000000" w:themeColor="text1"/>
          <w:lang w:val="en-US" w:eastAsia="fr-FR"/>
        </w:rPr>
      </w:pPr>
      <w:r w:rsidRPr="00DA741F">
        <w:rPr>
          <w:color w:val="000000" w:themeColor="text1"/>
          <w:lang w:val="en-US" w:eastAsia="fr-FR"/>
        </w:rPr>
        <w:t>In last meeting</w:t>
      </w:r>
      <w:r>
        <w:rPr>
          <w:color w:val="000000" w:themeColor="text1"/>
          <w:lang w:val="en-US" w:eastAsia="fr-FR"/>
        </w:rPr>
        <w:t xml:space="preserve"> companies proposed to revise the TS38.133 definition as,</w:t>
      </w:r>
    </w:p>
    <w:tbl>
      <w:tblPr>
        <w:tblStyle w:val="TableGrid"/>
        <w:tblW w:w="0" w:type="auto"/>
        <w:tblLook w:val="04A0" w:firstRow="1" w:lastRow="0" w:firstColumn="1" w:lastColumn="0" w:noHBand="0" w:noVBand="1"/>
      </w:tblPr>
      <w:tblGrid>
        <w:gridCol w:w="9629"/>
      </w:tblGrid>
      <w:tr w:rsidR="00DA741F" w14:paraId="033332A9" w14:textId="77777777" w:rsidTr="00DA741F">
        <w:tc>
          <w:tcPr>
            <w:tcW w:w="9629" w:type="dxa"/>
          </w:tcPr>
          <w:p w14:paraId="417A12E2" w14:textId="5E2B269B" w:rsidR="00DA741F" w:rsidRDefault="00DA741F" w:rsidP="00760DBF">
            <w:pPr>
              <w:rPr>
                <w:color w:val="000000" w:themeColor="text1"/>
                <w:lang w:val="en-US" w:eastAsia="fr-FR"/>
              </w:rPr>
            </w:pPr>
            <w:r w:rsidRPr="00DA741F">
              <w:rPr>
                <w:i/>
                <w:iCs/>
                <w:lang w:val="en-US" w:eastAsia="zh-CN"/>
              </w:rPr>
              <w:t>The UE shall be able to receive PDCCH with the old TCI state until slot n+</w:t>
            </w:r>
            <w:r w:rsidRPr="00DA741F">
              <w:rPr>
                <w:rFonts w:eastAsia="Malgun Gothic"/>
                <w:i/>
                <w:iCs/>
                <w:lang w:eastAsia="zh-CN"/>
              </w:rPr>
              <w:t xml:space="preserve"> T</w:t>
            </w:r>
            <w:r w:rsidRPr="00DA741F">
              <w:rPr>
                <w:rFonts w:eastAsia="Malgun Gothic"/>
                <w:i/>
                <w:iCs/>
                <w:vertAlign w:val="subscript"/>
                <w:lang w:eastAsia="zh-CN"/>
              </w:rPr>
              <w:t>HARQ</w:t>
            </w:r>
            <w:r w:rsidRPr="00DA741F">
              <w:rPr>
                <w:rFonts w:eastAsia="Malgun Gothic"/>
                <w:i/>
                <w:iCs/>
                <w:lang w:eastAsia="zh-CN"/>
              </w:rPr>
              <w:t xml:space="preserve"> +(</w:t>
            </w:r>
            <w:r w:rsidRPr="00DA741F">
              <w:rPr>
                <w:rFonts w:eastAsia="Malgun Gothic"/>
                <w:i/>
                <w:iCs/>
                <w:lang w:val="en-US" w:eastAsia="zh-CN"/>
              </w:rPr>
              <w:t>3 </w:t>
            </w:r>
            <w:proofErr w:type="spellStart"/>
            <w:r w:rsidRPr="00DA741F">
              <w:rPr>
                <w:rFonts w:eastAsia="Malgun Gothic"/>
                <w:i/>
                <w:iCs/>
                <w:lang w:val="en-US" w:eastAsia="zh-CN"/>
              </w:rPr>
              <w:t>ms</w:t>
            </w:r>
            <w:proofErr w:type="spellEnd"/>
            <w:r w:rsidRPr="00DA741F">
              <w:rPr>
                <w:rFonts w:eastAsia="Malgun Gothic"/>
                <w:i/>
                <w:iCs/>
                <w:lang w:val="en-US" w:eastAsia="zh-CN"/>
              </w:rPr>
              <w:t xml:space="preserve"> </w:t>
            </w:r>
            <w:r w:rsidRPr="00DA741F">
              <w:rPr>
                <w:rFonts w:eastAsia="Malgun Gothic"/>
                <w:b/>
                <w:bCs/>
                <w:i/>
                <w:iCs/>
                <w:strike/>
                <w:color w:val="FF0000"/>
                <w:highlight w:val="yellow"/>
                <w:lang w:val="en-US" w:eastAsia="zh-CN"/>
              </w:rPr>
              <w:t>+</w:t>
            </w:r>
            <w:proofErr w:type="spellStart"/>
            <w:r w:rsidRPr="00DA741F">
              <w:rPr>
                <w:rFonts w:eastAsia="Malgun Gothic"/>
                <w:b/>
                <w:bCs/>
                <w:i/>
                <w:iCs/>
                <w:strike/>
                <w:color w:val="FF0000"/>
                <w:highlight w:val="yellow"/>
                <w:lang w:val="en-US" w:eastAsia="zh-CN"/>
              </w:rPr>
              <w:t>TO</w:t>
            </w:r>
            <w:r w:rsidRPr="00DA741F">
              <w:rPr>
                <w:rFonts w:eastAsia="Malgun Gothic"/>
                <w:b/>
                <w:bCs/>
                <w:i/>
                <w:iCs/>
                <w:strike/>
                <w:color w:val="FF0000"/>
                <w:highlight w:val="yellow"/>
                <w:vertAlign w:val="subscript"/>
                <w:lang w:val="en-US" w:eastAsia="zh-CN"/>
              </w:rPr>
              <w:t>k</w:t>
            </w:r>
            <w:proofErr w:type="spellEnd"/>
            <w:r w:rsidRPr="00DA741F">
              <w:rPr>
                <w:rFonts w:eastAsia="Malgun Gothic"/>
                <w:b/>
                <w:bCs/>
                <w:i/>
                <w:iCs/>
                <w:strike/>
                <w:color w:val="FF0000"/>
                <w:highlight w:val="yellow"/>
                <w:lang w:val="en-US" w:eastAsia="zh-CN"/>
              </w:rPr>
              <w:t>*(</w:t>
            </w:r>
            <w:proofErr w:type="spellStart"/>
            <w:r w:rsidRPr="00DA741F">
              <w:rPr>
                <w:rFonts w:eastAsia="Malgun Gothic"/>
                <w:b/>
                <w:bCs/>
                <w:i/>
                <w:iCs/>
                <w:strike/>
                <w:color w:val="FF0000"/>
                <w:highlight w:val="yellow"/>
                <w:lang w:val="en-US" w:eastAsia="zh-CN"/>
              </w:rPr>
              <w:t>T</w:t>
            </w:r>
            <w:r w:rsidRPr="00DA741F">
              <w:rPr>
                <w:rFonts w:eastAsia="Malgun Gothic"/>
                <w:b/>
                <w:bCs/>
                <w:i/>
                <w:iCs/>
                <w:strike/>
                <w:color w:val="FF0000"/>
                <w:highlight w:val="yellow"/>
                <w:vertAlign w:val="subscript"/>
                <w:lang w:val="en-US" w:eastAsia="zh-CN"/>
              </w:rPr>
              <w:t>first</w:t>
            </w:r>
            <w:proofErr w:type="spellEnd"/>
            <w:r w:rsidRPr="00DA741F">
              <w:rPr>
                <w:rFonts w:eastAsia="Malgun Gothic"/>
                <w:b/>
                <w:bCs/>
                <w:i/>
                <w:iCs/>
                <w:strike/>
                <w:color w:val="FF0000"/>
                <w:highlight w:val="yellow"/>
                <w:vertAlign w:val="subscript"/>
                <w:lang w:val="en-US" w:eastAsia="zh-CN"/>
              </w:rPr>
              <w:t>-SSB</w:t>
            </w:r>
            <w:r w:rsidRPr="00DA741F">
              <w:rPr>
                <w:b/>
                <w:bCs/>
                <w:i/>
                <w:iCs/>
                <w:strike/>
                <w:color w:val="FF0000"/>
                <w:highlight w:val="yellow"/>
                <w:lang w:val="en-US" w:eastAsia="zh-CN"/>
              </w:rPr>
              <w:t>)</w:t>
            </w:r>
            <w:r w:rsidRPr="00DA741F">
              <w:rPr>
                <w:b/>
                <w:bCs/>
                <w:i/>
                <w:iCs/>
                <w:color w:val="FF0000"/>
                <w:lang w:val="en-US" w:eastAsia="zh-CN"/>
              </w:rPr>
              <w:t>)</w:t>
            </w:r>
            <w:r w:rsidRPr="00DA741F">
              <w:rPr>
                <w:i/>
                <w:iCs/>
                <w:color w:val="FF0000"/>
                <w:lang w:val="en-US" w:eastAsia="zh-CN"/>
              </w:rPr>
              <w:t xml:space="preserve"> </w:t>
            </w:r>
            <w:r w:rsidRPr="00DA741F">
              <w:rPr>
                <w:i/>
                <w:iCs/>
                <w:lang w:val="en-US" w:eastAsia="zh-CN"/>
              </w:rPr>
              <w:t>/ NR slot length.</w:t>
            </w:r>
          </w:p>
        </w:tc>
      </w:tr>
    </w:tbl>
    <w:p w14:paraId="359007EC" w14:textId="7684FAF1" w:rsidR="00DA741F" w:rsidRDefault="00DA741F" w:rsidP="00760DBF">
      <w:pPr>
        <w:rPr>
          <w:color w:val="000000" w:themeColor="text1"/>
          <w:lang w:val="en-US" w:eastAsia="fr-FR"/>
        </w:rPr>
      </w:pPr>
    </w:p>
    <w:p w14:paraId="669BF479" w14:textId="566963B5" w:rsidR="00DA741F" w:rsidRDefault="00DA741F" w:rsidP="00760DBF">
      <w:pPr>
        <w:rPr>
          <w:lang w:val="en-US" w:eastAsia="zh-CN"/>
        </w:rPr>
      </w:pPr>
      <w:r>
        <w:rPr>
          <w:color w:val="000000" w:themeColor="text1"/>
          <w:lang w:val="en-US" w:eastAsia="fr-FR"/>
        </w:rPr>
        <w:t>In order to accommodate RAN4 UE behavior definition to R15 RAN1 spec TS38.214, we can compromise to agree on the above change</w:t>
      </w:r>
      <w:r w:rsidR="004B1355">
        <w:rPr>
          <w:color w:val="000000" w:themeColor="text1"/>
          <w:lang w:val="en-US" w:eastAsia="fr-FR"/>
        </w:rPr>
        <w:t xml:space="preserve"> in R15</w:t>
      </w:r>
      <w:r>
        <w:rPr>
          <w:color w:val="000000" w:themeColor="text1"/>
          <w:lang w:val="en-US" w:eastAsia="fr-FR"/>
        </w:rPr>
        <w:t xml:space="preserve">. However, it may </w:t>
      </w:r>
      <w:r w:rsidR="004B1355">
        <w:rPr>
          <w:color w:val="000000" w:themeColor="text1"/>
          <w:lang w:val="en-US" w:eastAsia="fr-FR"/>
        </w:rPr>
        <w:t>still</w:t>
      </w:r>
      <w:r>
        <w:rPr>
          <w:color w:val="000000" w:themeColor="text1"/>
          <w:lang w:val="en-US" w:eastAsia="fr-FR"/>
        </w:rPr>
        <w:t xml:space="preserve"> have some potential problem and we think it’s possible to enhance it in future release. Based on the above revision, there is a time gap </w:t>
      </w:r>
      <w:r w:rsidR="004B1355">
        <w:rPr>
          <w:color w:val="000000" w:themeColor="text1"/>
          <w:lang w:val="en-US" w:eastAsia="fr-FR"/>
        </w:rPr>
        <w:t>from</w:t>
      </w:r>
      <w:r>
        <w:rPr>
          <w:color w:val="000000" w:themeColor="text1"/>
          <w:lang w:val="en-US" w:eastAsia="fr-FR"/>
        </w:rPr>
        <w:t xml:space="preserve"> “</w:t>
      </w:r>
      <w:r w:rsidRPr="00DA741F">
        <w:rPr>
          <w:i/>
          <w:iCs/>
          <w:lang w:val="en-US" w:eastAsia="zh-CN"/>
        </w:rPr>
        <w:t>slot n+</w:t>
      </w:r>
      <w:r w:rsidRPr="00DA741F">
        <w:rPr>
          <w:rFonts w:eastAsia="Malgun Gothic"/>
          <w:i/>
          <w:iCs/>
          <w:lang w:eastAsia="zh-CN"/>
        </w:rPr>
        <w:t xml:space="preserve"> T</w:t>
      </w:r>
      <w:r w:rsidRPr="00DA741F">
        <w:rPr>
          <w:rFonts w:eastAsia="Malgun Gothic"/>
          <w:i/>
          <w:iCs/>
          <w:vertAlign w:val="subscript"/>
          <w:lang w:eastAsia="zh-CN"/>
        </w:rPr>
        <w:t>HARQ</w:t>
      </w:r>
      <w:r w:rsidRPr="00DA741F">
        <w:rPr>
          <w:rFonts w:eastAsia="Malgun Gothic"/>
          <w:i/>
          <w:iCs/>
          <w:lang w:eastAsia="zh-CN"/>
        </w:rPr>
        <w:t xml:space="preserve"> +(</w:t>
      </w:r>
      <w:r w:rsidRPr="00DA741F">
        <w:rPr>
          <w:rFonts w:eastAsia="Malgun Gothic"/>
          <w:i/>
          <w:iCs/>
          <w:lang w:val="en-US" w:eastAsia="zh-CN"/>
        </w:rPr>
        <w:t>3 </w:t>
      </w:r>
      <w:proofErr w:type="spellStart"/>
      <w:r w:rsidRPr="00DA741F">
        <w:rPr>
          <w:rFonts w:eastAsia="Malgun Gothic"/>
          <w:i/>
          <w:iCs/>
          <w:lang w:val="en-US" w:eastAsia="zh-CN"/>
        </w:rPr>
        <w:t>ms</w:t>
      </w:r>
      <w:proofErr w:type="spellEnd"/>
      <w:r>
        <w:rPr>
          <w:rFonts w:eastAsia="Malgun Gothic"/>
          <w:i/>
          <w:iCs/>
          <w:lang w:val="en-US" w:eastAsia="zh-CN"/>
        </w:rPr>
        <w:t>)</w:t>
      </w:r>
      <w:r w:rsidRPr="00DA741F">
        <w:rPr>
          <w:rFonts w:eastAsia="Malgun Gothic"/>
          <w:i/>
          <w:iCs/>
          <w:lang w:val="en-US" w:eastAsia="zh-CN"/>
        </w:rPr>
        <w:t xml:space="preserve"> </w:t>
      </w:r>
      <w:r w:rsidRPr="00DA741F">
        <w:rPr>
          <w:i/>
          <w:iCs/>
          <w:lang w:val="en-US" w:eastAsia="zh-CN"/>
        </w:rPr>
        <w:t>/ NR slot length</w:t>
      </w:r>
      <w:r>
        <w:rPr>
          <w:i/>
          <w:iCs/>
          <w:lang w:val="en-US" w:eastAsia="zh-CN"/>
        </w:rPr>
        <w:t xml:space="preserve">” </w:t>
      </w:r>
      <w:r w:rsidR="004B1355">
        <w:rPr>
          <w:lang w:val="en-US" w:eastAsia="zh-CN"/>
        </w:rPr>
        <w:t>to</w:t>
      </w:r>
      <w:r>
        <w:rPr>
          <w:i/>
          <w:iCs/>
          <w:lang w:val="en-US" w:eastAsia="zh-CN"/>
        </w:rPr>
        <w:t xml:space="preserve"> “slot n+</w:t>
      </w:r>
      <w:r w:rsidRPr="00DA741F">
        <w:rPr>
          <w:rFonts w:eastAsia="Malgun Gothic"/>
          <w:i/>
          <w:iCs/>
          <w:lang w:eastAsia="zh-CN"/>
        </w:rPr>
        <w:t xml:space="preserve"> T</w:t>
      </w:r>
      <w:r w:rsidRPr="00DA741F">
        <w:rPr>
          <w:rFonts w:eastAsia="Malgun Gothic"/>
          <w:i/>
          <w:iCs/>
          <w:vertAlign w:val="subscript"/>
          <w:lang w:eastAsia="zh-CN"/>
        </w:rPr>
        <w:t>HARQ</w:t>
      </w:r>
      <w:r w:rsidRPr="00DA741F">
        <w:rPr>
          <w:rFonts w:eastAsia="Malgun Gothic"/>
          <w:i/>
          <w:iCs/>
          <w:lang w:eastAsia="zh-CN"/>
        </w:rPr>
        <w:t xml:space="preserve"> +(</w:t>
      </w:r>
      <w:r w:rsidRPr="00DA741F">
        <w:rPr>
          <w:rFonts w:eastAsia="Malgun Gothic"/>
          <w:i/>
          <w:iCs/>
          <w:lang w:val="en-US" w:eastAsia="zh-CN"/>
        </w:rPr>
        <w:t>3 </w:t>
      </w:r>
      <w:proofErr w:type="spellStart"/>
      <w:r w:rsidRPr="00DA741F">
        <w:rPr>
          <w:rFonts w:eastAsia="Malgun Gothic"/>
          <w:i/>
          <w:iCs/>
          <w:lang w:val="en-US" w:eastAsia="zh-CN"/>
        </w:rPr>
        <w:t>ms</w:t>
      </w:r>
      <w:proofErr w:type="spellEnd"/>
      <w:r w:rsidRPr="00DA741F">
        <w:rPr>
          <w:rFonts w:eastAsia="Malgun Gothic"/>
          <w:i/>
          <w:iCs/>
          <w:lang w:val="en-US" w:eastAsia="zh-CN"/>
        </w:rPr>
        <w:t xml:space="preserve"> +</w:t>
      </w:r>
      <w:proofErr w:type="spellStart"/>
      <w:r w:rsidRPr="00DA741F">
        <w:rPr>
          <w:rFonts w:eastAsia="Malgun Gothic"/>
          <w:i/>
          <w:iCs/>
          <w:lang w:val="en-US" w:eastAsia="zh-CN"/>
        </w:rPr>
        <w:t>TO</w:t>
      </w:r>
      <w:r w:rsidRPr="00DA741F">
        <w:rPr>
          <w:rFonts w:eastAsia="Malgun Gothic"/>
          <w:i/>
          <w:iCs/>
          <w:vertAlign w:val="subscript"/>
          <w:lang w:val="en-US" w:eastAsia="zh-CN"/>
        </w:rPr>
        <w:t>k</w:t>
      </w:r>
      <w:proofErr w:type="spellEnd"/>
      <w:r w:rsidRPr="00DA741F">
        <w:rPr>
          <w:rFonts w:eastAsia="Malgun Gothic"/>
          <w:i/>
          <w:iCs/>
          <w:lang w:val="en-US" w:eastAsia="zh-CN"/>
        </w:rPr>
        <w:t>*(</w:t>
      </w:r>
      <w:proofErr w:type="spellStart"/>
      <w:r w:rsidRPr="00DA741F">
        <w:rPr>
          <w:rFonts w:eastAsia="Malgun Gothic"/>
          <w:i/>
          <w:iCs/>
          <w:lang w:val="en-US" w:eastAsia="zh-CN"/>
        </w:rPr>
        <w:t>T</w:t>
      </w:r>
      <w:r w:rsidRPr="00DA741F">
        <w:rPr>
          <w:rFonts w:eastAsia="Malgun Gothic"/>
          <w:i/>
          <w:iCs/>
          <w:vertAlign w:val="subscript"/>
          <w:lang w:val="en-US" w:eastAsia="zh-CN"/>
        </w:rPr>
        <w:t>first</w:t>
      </w:r>
      <w:proofErr w:type="spellEnd"/>
      <w:r w:rsidRPr="00DA741F">
        <w:rPr>
          <w:rFonts w:eastAsia="Malgun Gothic"/>
          <w:i/>
          <w:iCs/>
          <w:vertAlign w:val="subscript"/>
          <w:lang w:val="en-US" w:eastAsia="zh-CN"/>
        </w:rPr>
        <w:t xml:space="preserve">-SSB </w:t>
      </w:r>
      <w:r w:rsidRPr="00DA741F">
        <w:rPr>
          <w:rFonts w:eastAsia="Malgun Gothic"/>
          <w:i/>
          <w:iCs/>
          <w:lang w:val="en-US" w:eastAsia="zh-CN"/>
        </w:rPr>
        <w:t>+ T</w:t>
      </w:r>
      <w:r w:rsidRPr="00DA741F">
        <w:rPr>
          <w:rFonts w:eastAsia="Malgun Gothic"/>
          <w:i/>
          <w:iCs/>
          <w:vertAlign w:val="subscript"/>
          <w:lang w:val="en-US" w:eastAsia="zh-CN"/>
        </w:rPr>
        <w:t>SSB-proc</w:t>
      </w:r>
      <w:r w:rsidRPr="00DA741F">
        <w:rPr>
          <w:rFonts w:eastAsia="Malgun Gothic"/>
          <w:i/>
          <w:iCs/>
          <w:lang w:val="en-US" w:eastAsia="zh-CN"/>
        </w:rPr>
        <w:t>))</w:t>
      </w:r>
      <w:r w:rsidRPr="00DA741F">
        <w:rPr>
          <w:i/>
          <w:iCs/>
          <w:lang w:val="en-US" w:eastAsia="zh-CN"/>
        </w:rPr>
        <w:t xml:space="preserve"> / NR slot length</w:t>
      </w:r>
      <w:r>
        <w:rPr>
          <w:i/>
          <w:iCs/>
          <w:lang w:val="en-US" w:eastAsia="zh-CN"/>
        </w:rPr>
        <w:t>”</w:t>
      </w:r>
      <w:r w:rsidRPr="00DA741F">
        <w:rPr>
          <w:lang w:val="en-US" w:eastAsia="zh-CN"/>
        </w:rPr>
        <w:t>.</w:t>
      </w:r>
      <w:r>
        <w:rPr>
          <w:lang w:val="en-US" w:eastAsia="zh-CN"/>
        </w:rPr>
        <w:t xml:space="preserve"> Since UE is not required to receive DL data during this time gap, it will probably impact the throughput performance in case the first SSB arrives 160ms later.</w:t>
      </w:r>
    </w:p>
    <w:p w14:paraId="18B0BB32" w14:textId="6023B57A" w:rsidR="004B1355" w:rsidRDefault="004B1355" w:rsidP="004B1355">
      <w:pPr>
        <w:keepNext/>
      </w:pPr>
      <w:r w:rsidRPr="004B1355">
        <w:rPr>
          <w:noProof/>
          <w:lang w:val="en-US" w:eastAsia="zh-CN"/>
        </w:rPr>
        <w:drawing>
          <wp:inline distT="0" distB="0" distL="0" distR="0" wp14:anchorId="14E97C9E" wp14:editId="5C5E824D">
            <wp:extent cx="6120765" cy="120967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09675"/>
                    </a:xfrm>
                    <a:prstGeom prst="rect">
                      <a:avLst/>
                    </a:prstGeom>
                  </pic:spPr>
                </pic:pic>
              </a:graphicData>
            </a:graphic>
          </wp:inline>
        </w:drawing>
      </w:r>
      <w:r w:rsidRPr="004B1355">
        <w:rPr>
          <w:lang w:val="en-US" w:eastAsia="zh-CN"/>
        </w:rPr>
        <w:t xml:space="preserve"> </w:t>
      </w:r>
    </w:p>
    <w:p w14:paraId="3C0D3178" w14:textId="662EFF47" w:rsidR="004B1355" w:rsidRDefault="004B1355" w:rsidP="004B1355">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the time gap during which UE is not required to receive DL data</w:t>
      </w:r>
    </w:p>
    <w:p w14:paraId="3F0096D6" w14:textId="14A755E1" w:rsidR="00DA741F" w:rsidRDefault="00DA741F" w:rsidP="00760DBF">
      <w:pPr>
        <w:rPr>
          <w:lang w:val="en-US" w:eastAsia="zh-CN"/>
        </w:rPr>
      </w:pPr>
    </w:p>
    <w:p w14:paraId="72964CD0" w14:textId="2422FD7C" w:rsidR="00DA741F" w:rsidRDefault="004B1355" w:rsidP="00760DBF">
      <w:pPr>
        <w:rPr>
          <w:color w:val="000000" w:themeColor="text1"/>
          <w:lang w:val="en-US" w:eastAsia="fr-FR"/>
        </w:rPr>
      </w:pPr>
      <w:r>
        <w:rPr>
          <w:color w:val="000000" w:themeColor="text1"/>
          <w:lang w:val="en-US" w:eastAsia="fr-FR"/>
        </w:rPr>
        <w:lastRenderedPageBreak/>
        <w:t xml:space="preserve">As shown in figure 1, since UE is not required to receive DL data during the time gap, it will impact the UE and network performance if this time gap is close to 160ms. </w:t>
      </w:r>
      <w:proofErr w:type="gramStart"/>
      <w:r>
        <w:rPr>
          <w:color w:val="000000" w:themeColor="text1"/>
          <w:lang w:val="en-US" w:eastAsia="fr-FR"/>
        </w:rPr>
        <w:t>So</w:t>
      </w:r>
      <w:proofErr w:type="gramEnd"/>
      <w:r>
        <w:rPr>
          <w:color w:val="000000" w:themeColor="text1"/>
          <w:lang w:val="en-US" w:eastAsia="fr-FR"/>
        </w:rPr>
        <w:t xml:space="preserve"> it’s necessary to enhance UE behavior in future release to maintain the data reception during this time gap, e.g. using old TCI.</w:t>
      </w:r>
    </w:p>
    <w:p w14:paraId="44DCDF62" w14:textId="42BB7621" w:rsidR="004B1355" w:rsidRPr="004B1355" w:rsidRDefault="004B1355" w:rsidP="00760DBF">
      <w:pPr>
        <w:rPr>
          <w:b/>
          <w:bCs/>
          <w:i/>
          <w:iCs/>
          <w:color w:val="000000" w:themeColor="text1"/>
          <w:lang w:val="en-US" w:eastAsia="fr-FR"/>
        </w:rPr>
      </w:pPr>
      <w:r w:rsidRPr="004B1355">
        <w:rPr>
          <w:b/>
          <w:bCs/>
          <w:i/>
          <w:iCs/>
          <w:color w:val="000000" w:themeColor="text1"/>
          <w:lang w:val="en-US" w:eastAsia="fr-FR"/>
        </w:rPr>
        <w:t xml:space="preserve">Proposal: RAN4 to further discuss if UE behavior can be enhanced to receive DL data during </w:t>
      </w:r>
      <w:r>
        <w:rPr>
          <w:b/>
          <w:bCs/>
          <w:i/>
          <w:iCs/>
          <w:color w:val="000000" w:themeColor="text1"/>
          <w:lang w:val="en-US" w:eastAsia="fr-FR"/>
        </w:rPr>
        <w:t xml:space="preserve">the </w:t>
      </w:r>
      <w:r w:rsidRPr="004B1355">
        <w:rPr>
          <w:b/>
          <w:bCs/>
          <w:i/>
          <w:iCs/>
          <w:color w:val="000000" w:themeColor="text1"/>
          <w:lang w:val="en-US" w:eastAsia="fr-FR"/>
        </w:rPr>
        <w:t xml:space="preserve">time gap of </w:t>
      </w:r>
      <w:proofErr w:type="spellStart"/>
      <w:r w:rsidRPr="004B1355">
        <w:rPr>
          <w:rFonts w:eastAsia="Malgun Gothic"/>
          <w:b/>
          <w:bCs/>
          <w:i/>
          <w:iCs/>
          <w:lang w:val="en-US" w:eastAsia="zh-CN"/>
        </w:rPr>
        <w:t>T</w:t>
      </w:r>
      <w:r w:rsidRPr="004B1355">
        <w:rPr>
          <w:rFonts w:eastAsia="Malgun Gothic"/>
          <w:b/>
          <w:bCs/>
          <w:i/>
          <w:iCs/>
          <w:vertAlign w:val="subscript"/>
          <w:lang w:val="en-US" w:eastAsia="zh-CN"/>
        </w:rPr>
        <w:t>first</w:t>
      </w:r>
      <w:proofErr w:type="spellEnd"/>
      <w:r w:rsidRPr="004B1355">
        <w:rPr>
          <w:rFonts w:eastAsia="Malgun Gothic"/>
          <w:b/>
          <w:bCs/>
          <w:i/>
          <w:iCs/>
          <w:vertAlign w:val="subscript"/>
          <w:lang w:val="en-US" w:eastAsia="zh-CN"/>
        </w:rPr>
        <w:t xml:space="preserve">-SSB </w:t>
      </w:r>
      <w:r w:rsidRPr="004B1355">
        <w:rPr>
          <w:rFonts w:eastAsia="Malgun Gothic"/>
          <w:b/>
          <w:bCs/>
          <w:i/>
          <w:iCs/>
          <w:lang w:val="en-US" w:eastAsia="zh-CN"/>
        </w:rPr>
        <w:t>in future release.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BA7D7AC" w14:textId="6F0A8CDC" w:rsidR="004B1355" w:rsidRDefault="004B1355" w:rsidP="004B1355">
      <w:pPr>
        <w:snapToGrid w:val="0"/>
        <w:spacing w:after="0"/>
        <w:jc w:val="both"/>
        <w:rPr>
          <w:lang w:val="en-US" w:eastAsia="zh-CN"/>
        </w:rPr>
      </w:pPr>
      <w:r>
        <w:rPr>
          <w:lang w:val="en-US" w:eastAsia="zh-CN"/>
        </w:rPr>
        <w:t>In this contribution, we disclose some potential enhancement possibilities on the existing TCI switching delay requirement.</w:t>
      </w:r>
    </w:p>
    <w:p w14:paraId="02CAD82D" w14:textId="77777777" w:rsidR="004B1355" w:rsidRDefault="004B1355" w:rsidP="004B1355">
      <w:pPr>
        <w:snapToGrid w:val="0"/>
        <w:spacing w:after="0"/>
        <w:jc w:val="both"/>
        <w:rPr>
          <w:lang w:val="en-US" w:eastAsia="zh-CN"/>
        </w:rPr>
      </w:pPr>
    </w:p>
    <w:p w14:paraId="65AC2FDD" w14:textId="3AD3DA64" w:rsidR="004B1355" w:rsidRPr="004B1355" w:rsidRDefault="004B1355" w:rsidP="004B1355">
      <w:pPr>
        <w:rPr>
          <w:b/>
          <w:bCs/>
          <w:i/>
          <w:iCs/>
          <w:color w:val="000000" w:themeColor="text1"/>
          <w:lang w:val="en-US" w:eastAsia="fr-FR"/>
        </w:rPr>
      </w:pPr>
      <w:r w:rsidRPr="004B1355">
        <w:rPr>
          <w:b/>
          <w:bCs/>
          <w:i/>
          <w:iCs/>
          <w:color w:val="000000" w:themeColor="text1"/>
          <w:lang w:val="en-US" w:eastAsia="fr-FR"/>
        </w:rPr>
        <w:t xml:space="preserve">Proposal: RAN4 to further discuss if UE behavior can be enhanced to receive DL data during </w:t>
      </w:r>
      <w:r>
        <w:rPr>
          <w:b/>
          <w:bCs/>
          <w:i/>
          <w:iCs/>
          <w:color w:val="000000" w:themeColor="text1"/>
          <w:lang w:val="en-US" w:eastAsia="fr-FR"/>
        </w:rPr>
        <w:t xml:space="preserve">the </w:t>
      </w:r>
      <w:r w:rsidRPr="004B1355">
        <w:rPr>
          <w:b/>
          <w:bCs/>
          <w:i/>
          <w:iCs/>
          <w:color w:val="000000" w:themeColor="text1"/>
          <w:lang w:val="en-US" w:eastAsia="fr-FR"/>
        </w:rPr>
        <w:t xml:space="preserve">time gap of </w:t>
      </w:r>
      <w:proofErr w:type="spellStart"/>
      <w:r w:rsidRPr="004B1355">
        <w:rPr>
          <w:rFonts w:eastAsia="Malgun Gothic"/>
          <w:b/>
          <w:bCs/>
          <w:i/>
          <w:iCs/>
          <w:lang w:val="en-US" w:eastAsia="zh-CN"/>
        </w:rPr>
        <w:t>T</w:t>
      </w:r>
      <w:r w:rsidRPr="004B1355">
        <w:rPr>
          <w:rFonts w:eastAsia="Malgun Gothic"/>
          <w:b/>
          <w:bCs/>
          <w:i/>
          <w:iCs/>
          <w:vertAlign w:val="subscript"/>
          <w:lang w:val="en-US" w:eastAsia="zh-CN"/>
        </w:rPr>
        <w:t>first</w:t>
      </w:r>
      <w:proofErr w:type="spellEnd"/>
      <w:r w:rsidRPr="004B1355">
        <w:rPr>
          <w:rFonts w:eastAsia="Malgun Gothic"/>
          <w:b/>
          <w:bCs/>
          <w:i/>
          <w:iCs/>
          <w:vertAlign w:val="subscript"/>
          <w:lang w:val="en-US" w:eastAsia="zh-CN"/>
        </w:rPr>
        <w:t xml:space="preserve">-SSB </w:t>
      </w:r>
      <w:r w:rsidRPr="004B1355">
        <w:rPr>
          <w:rFonts w:eastAsia="Malgun Gothic"/>
          <w:b/>
          <w:bCs/>
          <w:i/>
          <w:iCs/>
          <w:lang w:val="en-US" w:eastAsia="zh-CN"/>
        </w:rPr>
        <w:t>in future release.</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F7522" w14:textId="77777777" w:rsidR="008A10EF" w:rsidRDefault="008A10EF">
      <w:pPr>
        <w:spacing w:after="0"/>
      </w:pPr>
      <w:r>
        <w:separator/>
      </w:r>
    </w:p>
  </w:endnote>
  <w:endnote w:type="continuationSeparator" w:id="0">
    <w:p w14:paraId="6A814B84" w14:textId="77777777" w:rsidR="008A10EF" w:rsidRDefault="008A10EF">
      <w:pPr>
        <w:spacing w:after="0"/>
      </w:pPr>
      <w:r>
        <w:continuationSeparator/>
      </w:r>
    </w:p>
  </w:endnote>
  <w:endnote w:type="continuationNotice" w:id="1">
    <w:p w14:paraId="5A5534CF" w14:textId="77777777" w:rsidR="008A10EF" w:rsidRDefault="008A1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66086" w14:textId="77777777" w:rsidR="008A10EF" w:rsidRDefault="008A10EF">
      <w:pPr>
        <w:spacing w:after="0"/>
      </w:pPr>
      <w:r>
        <w:separator/>
      </w:r>
    </w:p>
  </w:footnote>
  <w:footnote w:type="continuationSeparator" w:id="0">
    <w:p w14:paraId="59209A20" w14:textId="77777777" w:rsidR="008A10EF" w:rsidRDefault="008A10EF">
      <w:pPr>
        <w:spacing w:after="0"/>
      </w:pPr>
      <w:r>
        <w:continuationSeparator/>
      </w:r>
    </w:p>
  </w:footnote>
  <w:footnote w:type="continuationNotice" w:id="1">
    <w:p w14:paraId="03C325B7" w14:textId="77777777" w:rsidR="008A10EF" w:rsidRDefault="008A1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1"/>
  </w:num>
  <w:num w:numId="15">
    <w:abstractNumId w:val="9"/>
  </w:num>
  <w:num w:numId="16">
    <w:abstractNumId w:val="20"/>
  </w:num>
  <w:num w:numId="17">
    <w:abstractNumId w:val="7"/>
  </w:num>
  <w:num w:numId="18">
    <w:abstractNumId w:val="25"/>
  </w:num>
  <w:num w:numId="19">
    <w:abstractNumId w:val="17"/>
  </w:num>
  <w:num w:numId="20">
    <w:abstractNumId w:val="18"/>
  </w:num>
  <w:num w:numId="21">
    <w:abstractNumId w:val="2"/>
  </w:num>
  <w:num w:numId="22">
    <w:abstractNumId w:val="13"/>
  </w:num>
  <w:num w:numId="23">
    <w:abstractNumId w:val="8"/>
  </w:num>
  <w:num w:numId="24">
    <w:abstractNumId w:val="14"/>
  </w:num>
  <w:num w:numId="25">
    <w:abstractNumId w:val="24"/>
  </w:num>
  <w:num w:numId="26">
    <w:abstractNumId w:val="19"/>
  </w:num>
  <w:num w:numId="27">
    <w:abstractNumId w:val="16"/>
  </w:num>
  <w:num w:numId="28">
    <w:abstractNumId w:val="0"/>
  </w:num>
  <w:num w:numId="29">
    <w:abstractNumId w:val="23"/>
  </w:num>
  <w:num w:numId="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55"/>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3F3"/>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0DBF"/>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0EF"/>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40"/>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377A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41F"/>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ACF"/>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5260958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540</Words>
  <Characters>2846</Characters>
  <Application>Microsoft Office Word</Application>
  <DocSecurity>0</DocSecurity>
  <Lines>81</Lines>
  <Paragraphs>59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2020-05-14T05:02:00Z</dcterms:created>
  <dcterms:modified xsi:type="dcterms:W3CDTF">2020-05-15T17:23:00Z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